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3A9D2">
      <w:pPr>
        <w:widowControl/>
        <w:jc w:val="left"/>
        <w:textAlignment w:val="center"/>
        <w:rPr>
          <w:rStyle w:val="16"/>
          <w:rFonts w:hint="default"/>
          <w:b w:val="0"/>
          <w:bCs w:val="0"/>
          <w:lang w:bidi="ar"/>
        </w:rPr>
      </w:pPr>
    </w:p>
    <w:p w14:paraId="764112D5">
      <w:pPr>
        <w:spacing w:before="319" w:beforeLines="100" w:after="87" w:afterLines="27" w:afterAutospacing="0"/>
        <w:jc w:val="center"/>
        <w:rPr>
          <w:rFonts w:hint="eastAsia" w:ascii="黑体" w:hAnsi="黑体" w:eastAsia="黑体"/>
          <w:b/>
          <w:bCs/>
          <w:sz w:val="36"/>
          <w:szCs w:val="36"/>
        </w:rPr>
      </w:pPr>
      <w:r>
        <w:rPr>
          <w:rFonts w:hint="eastAsia" w:ascii="黑体" w:hAnsi="黑体" w:eastAsia="黑体"/>
          <w:b/>
          <w:bCs/>
          <w:sz w:val="36"/>
          <w:szCs w:val="36"/>
        </w:rPr>
        <w:t>0860生物与医药2027年研究生招生专业目录、初试自命题科目</w:t>
      </w:r>
    </w:p>
    <w:tbl>
      <w:tblPr>
        <w:tblStyle w:val="6"/>
        <w:tblW w:w="140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2066"/>
        <w:gridCol w:w="2672"/>
        <w:gridCol w:w="2268"/>
        <w:gridCol w:w="2409"/>
        <w:gridCol w:w="1789"/>
      </w:tblGrid>
      <w:tr w14:paraId="60C25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2836" w:type="dxa"/>
            <w:vAlign w:val="center"/>
          </w:tcPr>
          <w:p w14:paraId="77B3803B">
            <w:pPr>
              <w:widowControl/>
              <w:spacing w:beforeAutospacing="0"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招生学院</w:t>
            </w:r>
          </w:p>
        </w:tc>
        <w:tc>
          <w:tcPr>
            <w:tcW w:w="2066" w:type="dxa"/>
            <w:vAlign w:val="center"/>
          </w:tcPr>
          <w:p w14:paraId="3C4B447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专业学位类别代码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及名称</w:t>
            </w:r>
          </w:p>
        </w:tc>
        <w:tc>
          <w:tcPr>
            <w:tcW w:w="2672" w:type="dxa"/>
            <w:vAlign w:val="center"/>
          </w:tcPr>
          <w:p w14:paraId="17E5AEB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专业代码及名称</w:t>
            </w:r>
          </w:p>
        </w:tc>
        <w:tc>
          <w:tcPr>
            <w:tcW w:w="2268" w:type="dxa"/>
            <w:vAlign w:val="center"/>
          </w:tcPr>
          <w:p w14:paraId="36A196E3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研究方向代码</w:t>
            </w:r>
          </w:p>
          <w:p w14:paraId="1A6E618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及名称</w:t>
            </w:r>
          </w:p>
        </w:tc>
        <w:tc>
          <w:tcPr>
            <w:tcW w:w="2409" w:type="dxa"/>
            <w:vAlign w:val="center"/>
          </w:tcPr>
          <w:p w14:paraId="179FBA3B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初试科目</w:t>
            </w:r>
          </w:p>
        </w:tc>
        <w:tc>
          <w:tcPr>
            <w:tcW w:w="1789" w:type="dxa"/>
            <w:vAlign w:val="center"/>
          </w:tcPr>
          <w:p w14:paraId="64117E9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联系方式</w:t>
            </w:r>
          </w:p>
        </w:tc>
      </w:tr>
      <w:tr w14:paraId="1DE2A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836" w:type="dxa"/>
            <w:vMerge w:val="restart"/>
            <w:vAlign w:val="center"/>
          </w:tcPr>
          <w:p w14:paraId="54CC1EC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004</w:t>
            </w:r>
            <w:r>
              <w:rPr>
                <w:rStyle w:val="16"/>
                <w:rFonts w:hint="default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bidi="ar"/>
              </w:rPr>
              <w:t>食品与生物工程学院</w:t>
            </w:r>
          </w:p>
        </w:tc>
        <w:tc>
          <w:tcPr>
            <w:tcW w:w="2066" w:type="dxa"/>
            <w:vMerge w:val="restart"/>
            <w:vAlign w:val="center"/>
          </w:tcPr>
          <w:p w14:paraId="35C6DAC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0860生物与医药</w:t>
            </w:r>
          </w:p>
        </w:tc>
        <w:tc>
          <w:tcPr>
            <w:tcW w:w="2672" w:type="dxa"/>
            <w:vAlign w:val="center"/>
          </w:tcPr>
          <w:p w14:paraId="6E97980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086001生物技术与工程</w:t>
            </w:r>
          </w:p>
        </w:tc>
        <w:tc>
          <w:tcPr>
            <w:tcW w:w="2268" w:type="dxa"/>
            <w:vMerge w:val="restart"/>
            <w:vAlign w:val="center"/>
          </w:tcPr>
          <w:p w14:paraId="19562B0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00 不区分研究方向</w:t>
            </w:r>
          </w:p>
        </w:tc>
        <w:tc>
          <w:tcPr>
            <w:tcW w:w="2409" w:type="dxa"/>
            <w:vMerge w:val="restart"/>
            <w:vAlign w:val="center"/>
          </w:tcPr>
          <w:p w14:paraId="34AFCBA1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①101思想政治理论</w:t>
            </w:r>
          </w:p>
          <w:p w14:paraId="639B93E8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②204英语（二）</w:t>
            </w:r>
          </w:p>
          <w:p w14:paraId="3CCDF8A5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③338生物化学</w:t>
            </w:r>
          </w:p>
          <w:p w14:paraId="19BD41E0">
            <w:pPr>
              <w:widowControl/>
              <w:spacing w:line="400" w:lineRule="exact"/>
              <w:jc w:val="left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④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801食品</w:t>
            </w:r>
            <w:r>
              <w:rPr>
                <w:rStyle w:val="17"/>
                <w:rFonts w:hint="default" w:ascii="Times New Roman" w:hAnsi="Times New Roman" w:cs="Times New Roman"/>
                <w:color w:val="auto"/>
                <w:sz w:val="24"/>
                <w:szCs w:val="24"/>
                <w:lang w:bidi="ar"/>
              </w:rPr>
              <w:t>微生物学</w:t>
            </w:r>
          </w:p>
        </w:tc>
        <w:tc>
          <w:tcPr>
            <w:tcW w:w="1789" w:type="dxa"/>
            <w:vMerge w:val="restart"/>
            <w:vAlign w:val="center"/>
          </w:tcPr>
          <w:p w14:paraId="7BDD4C8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郑老师</w:t>
            </w:r>
          </w:p>
          <w:p w14:paraId="4766F155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0516-83105306</w:t>
            </w:r>
          </w:p>
        </w:tc>
      </w:tr>
      <w:tr w14:paraId="4B621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2836" w:type="dxa"/>
            <w:vMerge w:val="continue"/>
            <w:vAlign w:val="center"/>
          </w:tcPr>
          <w:p w14:paraId="1A76EE0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2066" w:type="dxa"/>
            <w:vMerge w:val="continue"/>
            <w:vAlign w:val="center"/>
          </w:tcPr>
          <w:p w14:paraId="5F9663A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2672" w:type="dxa"/>
            <w:vAlign w:val="center"/>
          </w:tcPr>
          <w:p w14:paraId="04E38F3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086003食品工程</w:t>
            </w:r>
          </w:p>
        </w:tc>
        <w:tc>
          <w:tcPr>
            <w:tcW w:w="2268" w:type="dxa"/>
            <w:vMerge w:val="continue"/>
            <w:vAlign w:val="center"/>
          </w:tcPr>
          <w:p w14:paraId="1972C380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2409" w:type="dxa"/>
            <w:vMerge w:val="continue"/>
            <w:vAlign w:val="center"/>
          </w:tcPr>
          <w:p w14:paraId="62C2CDA7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789" w:type="dxa"/>
            <w:vMerge w:val="continue"/>
            <w:vAlign w:val="center"/>
          </w:tcPr>
          <w:p w14:paraId="6BB884FC"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</w:tr>
    </w:tbl>
    <w:p w14:paraId="65872AE9">
      <w:pPr>
        <w:rPr>
          <w:rFonts w:ascii="Times New Roman" w:hAnsi="Times New Roman" w:cs="Times New Roman"/>
          <w:sz w:val="28"/>
          <w:szCs w:val="36"/>
        </w:rPr>
      </w:pPr>
    </w:p>
    <w:p w14:paraId="58E60FC6">
      <w:pPr>
        <w:spacing w:before="319" w:beforeLines="100" w:after="319" w:afterLines="100"/>
        <w:jc w:val="center"/>
        <w:rPr>
          <w:rFonts w:hint="eastAsia" w:ascii="黑体" w:hAnsi="黑体" w:eastAsia="黑体"/>
          <w:b/>
          <w:bCs/>
          <w:sz w:val="36"/>
          <w:szCs w:val="36"/>
        </w:rPr>
      </w:pPr>
    </w:p>
    <w:p w14:paraId="66147894">
      <w:pPr>
        <w:spacing w:before="319" w:beforeLines="100" w:after="319" w:afterLines="100"/>
        <w:jc w:val="center"/>
        <w:rPr>
          <w:rFonts w:hint="eastAsia" w:ascii="黑体" w:hAnsi="黑体" w:eastAsia="黑体"/>
          <w:b/>
          <w:bCs/>
          <w:sz w:val="36"/>
          <w:szCs w:val="36"/>
        </w:rPr>
      </w:pPr>
    </w:p>
    <w:p w14:paraId="20977EBA">
      <w:pPr>
        <w:spacing w:before="319" w:beforeLines="100" w:after="319" w:afterLines="100"/>
        <w:jc w:val="center"/>
        <w:rPr>
          <w:rFonts w:hint="eastAsia" w:ascii="黑体" w:hAnsi="黑体" w:eastAsia="黑体"/>
          <w:b/>
          <w:bCs/>
          <w:sz w:val="36"/>
          <w:szCs w:val="36"/>
        </w:rPr>
      </w:pPr>
      <w:bookmarkStart w:id="4" w:name="_GoBack"/>
      <w:bookmarkEnd w:id="4"/>
    </w:p>
    <w:p w14:paraId="490F2E98">
      <w:pPr>
        <w:spacing w:before="319" w:beforeLines="100" w:after="319" w:afterLines="100"/>
        <w:jc w:val="center"/>
        <w:rPr>
          <w:rFonts w:hint="eastAsia" w:ascii="黑体" w:hAnsi="黑体" w:eastAsia="黑体"/>
          <w:b/>
          <w:bCs/>
          <w:sz w:val="36"/>
          <w:szCs w:val="36"/>
        </w:rPr>
      </w:pPr>
    </w:p>
    <w:p w14:paraId="57E70CFF">
      <w:pPr>
        <w:spacing w:before="319" w:beforeLines="100" w:afterAutospacing="0"/>
        <w:jc w:val="center"/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bCs/>
          <w:sz w:val="36"/>
          <w:szCs w:val="36"/>
          <w:lang w:val="en-US" w:eastAsia="zh-CN"/>
        </w:rPr>
        <w:t>初试自命题科目参考书目及考试大纲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3"/>
        <w:gridCol w:w="1127"/>
        <w:gridCol w:w="1387"/>
        <w:gridCol w:w="8968"/>
        <w:gridCol w:w="955"/>
      </w:tblGrid>
      <w:tr w14:paraId="60E3B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Align w:val="center"/>
          </w:tcPr>
          <w:p w14:paraId="6D95548B">
            <w:pPr>
              <w:spacing w:beforeAutospacing="0" w:after="319" w:afterLines="100"/>
              <w:jc w:val="center"/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</w:pPr>
            <w:bookmarkStart w:id="0" w:name="OLE_LINK2"/>
            <w:bookmarkStart w:id="1" w:name="OLE_LINK1"/>
            <w:bookmarkStart w:id="2" w:name="OLE_LINK4"/>
            <w:bookmarkStart w:id="3" w:name="OLE_LINK3"/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科目代码</w:t>
            </w:r>
            <w:bookmarkEnd w:id="0"/>
            <w:bookmarkEnd w:id="1"/>
          </w:p>
        </w:tc>
        <w:tc>
          <w:tcPr>
            <w:tcW w:w="1127" w:type="dxa"/>
            <w:vAlign w:val="center"/>
          </w:tcPr>
          <w:p w14:paraId="14D958DA">
            <w:pPr>
              <w:spacing w:before="319" w:beforeLines="100" w:after="319" w:afterLines="100"/>
              <w:jc w:val="center"/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科目 名称</w:t>
            </w:r>
          </w:p>
        </w:tc>
        <w:tc>
          <w:tcPr>
            <w:tcW w:w="1387" w:type="dxa"/>
            <w:vAlign w:val="center"/>
          </w:tcPr>
          <w:p w14:paraId="71325C83">
            <w:pPr>
              <w:spacing w:before="319" w:beforeLines="100" w:after="319" w:afterLines="100"/>
              <w:jc w:val="center"/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参考书目</w:t>
            </w:r>
          </w:p>
        </w:tc>
        <w:tc>
          <w:tcPr>
            <w:tcW w:w="8968" w:type="dxa"/>
            <w:vAlign w:val="center"/>
          </w:tcPr>
          <w:p w14:paraId="34140C12">
            <w:pPr>
              <w:spacing w:before="319" w:beforeLines="100" w:after="319" w:afterLines="100"/>
              <w:jc w:val="center"/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考试大纲</w:t>
            </w:r>
          </w:p>
        </w:tc>
        <w:tc>
          <w:tcPr>
            <w:tcW w:w="955" w:type="dxa"/>
            <w:vAlign w:val="center"/>
          </w:tcPr>
          <w:p w14:paraId="001FD966">
            <w:pPr>
              <w:spacing w:before="319" w:beforeLines="100" w:after="319" w:afterLines="100"/>
              <w:jc w:val="center"/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bookmarkEnd w:id="2"/>
      <w:bookmarkEnd w:id="3"/>
      <w:tr w14:paraId="175E6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Align w:val="center"/>
          </w:tcPr>
          <w:p w14:paraId="3A56D997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338</w:t>
            </w:r>
          </w:p>
        </w:tc>
        <w:tc>
          <w:tcPr>
            <w:tcW w:w="1127" w:type="dxa"/>
            <w:vAlign w:val="center"/>
          </w:tcPr>
          <w:p w14:paraId="30E64402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生物化学</w:t>
            </w:r>
          </w:p>
        </w:tc>
        <w:tc>
          <w:tcPr>
            <w:tcW w:w="1387" w:type="dxa"/>
            <w:vAlign w:val="center"/>
          </w:tcPr>
          <w:p w14:paraId="0CCBC584">
            <w:pPr>
              <w:widowControl/>
              <w:spacing w:line="300" w:lineRule="exac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《生物化学》（第四版），朱圣庚、徐长法等主编，高等教育出版社，2017年。</w:t>
            </w:r>
          </w:p>
        </w:tc>
        <w:tc>
          <w:tcPr>
            <w:tcW w:w="8968" w:type="dxa"/>
          </w:tcPr>
          <w:p w14:paraId="41AEB003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  <w:p w14:paraId="65A331D6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一、考试目的与要求</w:t>
            </w:r>
          </w:p>
          <w:p w14:paraId="01D7E1ED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生物化学是培养从事食品工程、生物技术与工程相关的设计、生产、管理、产品研发、技术服务等专业技术人才的核心基础课程，为使学生在研究生学习阶段顺利开展相关研究课题，要求学生系统地理解并掌握生物化学的基本概念和基本理论；掌握各类生化物质的结构、性质、功能及其合成代谢和分解代谢的基本途径和调控方法，能综合运用所学的知识分析问题和解决问题。 </w:t>
            </w:r>
          </w:p>
          <w:p w14:paraId="5202FE3D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</w:rPr>
              <w:t>二、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考试范围</w:t>
            </w:r>
          </w:p>
          <w:p w14:paraId="71464CBD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内容包括糖化学与代谢、脂化学与代谢、蛋白质化学与代谢、核酸化学与代谢、酶化学、维生素、生物氧化、激素及代谢调控等内容，具体重点内容如下：</w:t>
            </w:r>
          </w:p>
          <w:p w14:paraId="30FADE4E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糖化学与糖代谢：重点掌握单糖、多糖的结构与理化性质；糖代谢通路为糖酵解、糖的有氧氧化、磷酸戊糖途径、糖原合成与分解、糖异生；熟练掌握各通路关键限速酶、产物及反应特点、能量代谢规律、生理功能及代谢调控机制，掌握血糖平衡的生化调节机制及代谢异常原理。</w:t>
            </w:r>
          </w:p>
          <w:p w14:paraId="232F22B1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脂化学与脂代谢：重点掌握脂类、甘油三酯、磷脂、胆固醇的结构与功能；脂肪酸分解代谢（β-氧化）、酮体的合成与利用、脂肪酸从头合成等代谢过程中重要的酶、产物及反应特点、能量代谢规律，生理功能及代谢调控机制。</w:t>
            </w:r>
          </w:p>
          <w:p w14:paraId="6252974C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蛋白质化学与蛋白质代谢：重点掌握氨基酸的结构、理化性质（重要的反应、两性解离与等电点）、紫外吸收性质及氨基酸的分类；蛋白质一、二、三、四级结构特点，结构与功能的关系，蛋白质变性、沉淀与复性的原理及蛋白质的分离纯化技术；掌握氨基酸的脱氨基作用（直接脱氨、转氨基、联合脱氨基）、脱羧基作用、尿素循环及氨基酸在肌肉与肝脏中的转运（葡萄糖-丙氨酸循环等）等代谢过程；生糖、生酮氨基酸的分类及生理意义；能够分析氨基酸代谢异常与相关疾病（例如肝性脑病等）的关系。</w:t>
            </w:r>
          </w:p>
          <w:p w14:paraId="158324E4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核酸化学与核酸代谢：重点掌握核苷酸、DNA、RNA的化学结构、理化性质及生物学功能；核酸变性、复性、杂交原理及应用；掌握核酸分解代谢产物及规律；掌握核酸从头合成与补救途径的过程及特点；能够分析与核酸代谢异常与相关疾病（痛风等）的关系。</w:t>
            </w:r>
          </w:p>
          <w:p w14:paraId="632AEFFB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.酶学基础：重点掌握酶的化学本质、结构特点及酶的专一性；掌握酶具有高效催化活性的机制；酶促反应动力学规律（米氏方程、影响酶促反应的因素）；可逆与不可逆抑制作用类型及特点；酶活性的调节方式：别构调节、共价修饰、酶原激活、同工酶等；掌握酶活力的概念及测定和计算方法。</w:t>
            </w:r>
          </w:p>
          <w:p w14:paraId="0A5EE4AB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.生物氧化：重点掌握生物氧化的概念、特点及与体外氧化的区别；熟悉呼吸链的组成、复合体功能、电子传递顺序及排列依据；掌握氧化磷酸化偶联部位、ATP生成机制、P/O比值含义；明晰底物水平磷酸化与氧化磷酸化的区别；掌握解偶联作用、电子传递抑制剂的作用机理；熟悉高能化合物类型及能量储存与转移规律。</w:t>
            </w:r>
          </w:p>
          <w:p w14:paraId="2D020705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维生素与辅酶：重点掌握常见水溶性维生素B族维生素和C族维生素，明确各类维生素对应的辅酶/辅基形式，掌握辅酶在物质代谢、能量代谢中的核心作用；掌握重要的脂溶性维生素的生理功能；了解维生素缺乏引发的代谢异常机制。</w:t>
            </w:r>
          </w:p>
          <w:p w14:paraId="52DF8E31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.激素及整体代谢调控：重点掌握糖、脂、蛋白质代谢的相互联系与协同调控规律；常见调节代谢的激素功能及作用机制；掌握机体在不同生理状态（进食、饥饿、应激）下的整体代谢调节网络，理解代谢紊乱的生化机理。</w:t>
            </w:r>
          </w:p>
          <w:p w14:paraId="293CFEAD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</w:p>
          <w:p w14:paraId="655EBCEC">
            <w:pPr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2"/>
              </w:rPr>
              <w:t>三、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试题结构</w:t>
            </w:r>
          </w:p>
          <w:p w14:paraId="7E82A2BD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1.考试时间 180分钟 闭卷</w:t>
            </w:r>
          </w:p>
          <w:p w14:paraId="74AA3A46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2.试题类型</w:t>
            </w:r>
          </w:p>
          <w:p w14:paraId="43328670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包括名词解释、问答题和计算题。试卷务必书写清楚，符号和西文字母运用得当。不得在试题上答卷。</w:t>
            </w:r>
          </w:p>
          <w:p w14:paraId="045C5B65">
            <w:pPr>
              <w:spacing w:line="300" w:lineRule="exact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955" w:type="dxa"/>
          </w:tcPr>
          <w:p w14:paraId="662AE9F6">
            <w:pPr>
              <w:spacing w:before="319" w:beforeLines="100" w:after="319" w:afterLines="100"/>
              <w:rPr>
                <w:rFonts w:hint="eastAsia" w:ascii="宋体" w:hAnsi="宋体"/>
                <w:bCs/>
                <w:sz w:val="22"/>
              </w:rPr>
            </w:pPr>
          </w:p>
        </w:tc>
      </w:tr>
      <w:tr w14:paraId="7517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3" w:type="dxa"/>
            <w:vAlign w:val="center"/>
          </w:tcPr>
          <w:p w14:paraId="1C62B3A4">
            <w:pPr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801</w:t>
            </w:r>
          </w:p>
        </w:tc>
        <w:tc>
          <w:tcPr>
            <w:tcW w:w="1127" w:type="dxa"/>
            <w:vAlign w:val="center"/>
          </w:tcPr>
          <w:p w14:paraId="11925A6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食品微生物学</w:t>
            </w:r>
          </w:p>
        </w:tc>
        <w:tc>
          <w:tcPr>
            <w:tcW w:w="1387" w:type="dxa"/>
            <w:vAlign w:val="center"/>
          </w:tcPr>
          <w:p w14:paraId="36A38B6B">
            <w:pPr>
              <w:spacing w:line="300" w:lineRule="exact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《食品微生物学》（第四版）,董明盛、李平兰主编，中国农业出版社，2024年。</w:t>
            </w:r>
          </w:p>
        </w:tc>
        <w:tc>
          <w:tcPr>
            <w:tcW w:w="8968" w:type="dxa"/>
          </w:tcPr>
          <w:p w14:paraId="3B286BD3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>一、考试目的与要求</w:t>
            </w:r>
          </w:p>
          <w:p w14:paraId="18BD6355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食品微生物学是培养从事食品工程、生物工程、生物技术等领域专业技术人才的核心基础课程，系统阐述了微生物的形态结构、生理代谢、遗传变异、生态分布及分类进化等生命活动规律，并深入探讨微生物在生物发酵、食品安全的实际应用。要求考生掌握微生物的基本知识，包括微生物的形态、结构、营养、生长、环境因素对微生物的影响、菌种选育、菌种保藏以及新陈代谢和遗传变异等；了解微生物与食品制造、保藏、腐败变质的基础关系，能识别食品工程、生物工程中与微生物相关的关键环节；初步运用微生物学基础原理，解释食品发酵、防腐等简单实际问题。</w:t>
            </w:r>
          </w:p>
          <w:p w14:paraId="08988542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</w:p>
          <w:p w14:paraId="34987A03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>二、考试范围</w:t>
            </w:r>
          </w:p>
          <w:p w14:paraId="60A560C0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1.绪论：微生物的概念及其在生物分类中的地位，微生物的命名，微生物的生物学特性，微生物学及其主要分支学科，微生物学的形成和发展，食品微生物学研究的内容与任务。</w:t>
            </w:r>
          </w:p>
          <w:p w14:paraId="437D9F0F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微生物主要类群及其形态与结构：原核微生物与真核微生物的概念及其主要区别，原核微生物的形态、结构与功能，真核微生物的形态、结构及其生理功能，非细胞生物——病毒，微生物的分类与繁殖方式、微生物与免疫。</w:t>
            </w:r>
          </w:p>
          <w:p w14:paraId="454BDF36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微生物的营养与代谢：微生物细胞的化学组成，微生物的营养物质及生理功能，微生物对营养物质的吸收方式，微生物的营养类型，培养基，微生物的能量代谢，微生物的物质代谢，微生物代谢调控与发酵生产。</w:t>
            </w:r>
          </w:p>
          <w:p w14:paraId="0ABEEF84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4.微生物的生长及其控制：微生物的生长，影响微生物生长的主要因素，微生物生长的控制。</w:t>
            </w:r>
          </w:p>
          <w:p w14:paraId="59F746B6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5.微生物的遗传变异与菌种选育：遗传变异的物质基础，基因突变和诱变育种，基因重组，基因工程，菌种的衰退、复壮和保藏。</w:t>
            </w:r>
          </w:p>
          <w:p w14:paraId="7E6090F3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6.微生物的生态：微生物在自然界中的分布及其规律，微生物与生物环境之间的相互关系。</w:t>
            </w:r>
          </w:p>
          <w:p w14:paraId="59A5BC80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7.微生物与食品制造：微生物发酵，细菌的应用，酵母菌的应用，霉菌的应用，微生物酶和菌体的应用，微生物发酵中杂菌污染及其防治，微生物与未来食品。</w:t>
            </w:r>
          </w:p>
          <w:p w14:paraId="463D6F03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8.食品的微生物污染：污染食品的微生物来源及其途径，食品的细菌污染，食品被细菌污染后对人体的危害，霉菌及其毒素对食品的污染。</w:t>
            </w:r>
          </w:p>
          <w:p w14:paraId="3DD8B13D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9.食品腐败变质及其控制：食品的腐败变质，引起食品腐败变质的主要因素及控制。</w:t>
            </w:r>
          </w:p>
          <w:p w14:paraId="588D9F87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10.微生物与食品安全：食品安全性的基本概念，细菌及病毒对食品安全性的影响，真菌对食品安全性的影响，食品安全性的控制。</w:t>
            </w:r>
          </w:p>
          <w:p w14:paraId="79103C7A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</w:p>
          <w:p w14:paraId="4C2DE119">
            <w:pPr>
              <w:jc w:val="left"/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hd w:val="clear" w:color="auto" w:fill="FFFFFF"/>
              </w:rPr>
              <w:t>三、试题结构（包括考试时间、试题类型等）</w:t>
            </w:r>
          </w:p>
          <w:p w14:paraId="3AD9DB5B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1.考试时间 180分钟 闭卷。</w:t>
            </w:r>
          </w:p>
          <w:p w14:paraId="52C10681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2.试题类型</w:t>
            </w:r>
          </w:p>
          <w:p w14:paraId="40AB8BF4">
            <w:pPr>
              <w:spacing w:line="360" w:lineRule="exact"/>
              <w:ind w:firstLine="440" w:firstLineChars="200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包括名词解释、问答题和计算题等题型。试卷务必书写清楚，符号和西文字母运用得当。不得在试题上答卷。</w:t>
            </w:r>
          </w:p>
        </w:tc>
        <w:tc>
          <w:tcPr>
            <w:tcW w:w="955" w:type="dxa"/>
          </w:tcPr>
          <w:p w14:paraId="1024F6AC">
            <w:pPr>
              <w:spacing w:before="319" w:beforeLines="100" w:after="319" w:afterLines="100"/>
              <w:rPr>
                <w:rFonts w:hint="eastAsia" w:ascii="宋体" w:hAnsi="宋体"/>
                <w:bCs/>
                <w:sz w:val="22"/>
              </w:rPr>
            </w:pPr>
          </w:p>
        </w:tc>
      </w:tr>
    </w:tbl>
    <w:p w14:paraId="17FD8693">
      <w:pPr>
        <w:widowControl/>
        <w:jc w:val="left"/>
        <w:textAlignment w:val="center"/>
        <w:rPr>
          <w:rStyle w:val="16"/>
          <w:rFonts w:hint="default"/>
          <w:b w:val="0"/>
          <w:bCs w:val="0"/>
          <w:lang w:bidi="ar"/>
        </w:rPr>
      </w:pPr>
    </w:p>
    <w:sectPr>
      <w:footerReference r:id="rId3" w:type="default"/>
      <w:pgSz w:w="16838" w:h="11906" w:orient="landscape"/>
      <w:pgMar w:top="1701" w:right="1440" w:bottom="1701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19274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CE1AC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CE1AC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VlMjI5MTcxZWQ3MjBlNTRjZWVhNzM5OWQ5MjJhNWEifQ=="/>
  </w:docVars>
  <w:rsids>
    <w:rsidRoot w:val="31C03512"/>
    <w:rsid w:val="00024BDB"/>
    <w:rsid w:val="000614BF"/>
    <w:rsid w:val="00097C88"/>
    <w:rsid w:val="000A043C"/>
    <w:rsid w:val="000C0409"/>
    <w:rsid w:val="001108D4"/>
    <w:rsid w:val="00113CAF"/>
    <w:rsid w:val="001209F4"/>
    <w:rsid w:val="001839F6"/>
    <w:rsid w:val="00184DAF"/>
    <w:rsid w:val="001C5415"/>
    <w:rsid w:val="001D32D2"/>
    <w:rsid w:val="00215E8E"/>
    <w:rsid w:val="002211C3"/>
    <w:rsid w:val="00255E47"/>
    <w:rsid w:val="00345D04"/>
    <w:rsid w:val="003533B2"/>
    <w:rsid w:val="00397378"/>
    <w:rsid w:val="003A2D72"/>
    <w:rsid w:val="003A470D"/>
    <w:rsid w:val="00460763"/>
    <w:rsid w:val="004E2505"/>
    <w:rsid w:val="004F67ED"/>
    <w:rsid w:val="005048A7"/>
    <w:rsid w:val="005609E7"/>
    <w:rsid w:val="0057161E"/>
    <w:rsid w:val="00593601"/>
    <w:rsid w:val="006572F2"/>
    <w:rsid w:val="0071284D"/>
    <w:rsid w:val="00714341"/>
    <w:rsid w:val="00751A19"/>
    <w:rsid w:val="00894805"/>
    <w:rsid w:val="008F36E7"/>
    <w:rsid w:val="0099524D"/>
    <w:rsid w:val="009F15A0"/>
    <w:rsid w:val="00A57330"/>
    <w:rsid w:val="00AC192A"/>
    <w:rsid w:val="00B51F2C"/>
    <w:rsid w:val="00B52214"/>
    <w:rsid w:val="00BA2EF6"/>
    <w:rsid w:val="00BE794A"/>
    <w:rsid w:val="00C0457B"/>
    <w:rsid w:val="00C32A22"/>
    <w:rsid w:val="00C546B4"/>
    <w:rsid w:val="00CB7C35"/>
    <w:rsid w:val="00D07EA7"/>
    <w:rsid w:val="00D900D6"/>
    <w:rsid w:val="00DD61DA"/>
    <w:rsid w:val="00E9631A"/>
    <w:rsid w:val="00F143ED"/>
    <w:rsid w:val="00FE60FB"/>
    <w:rsid w:val="01917F2A"/>
    <w:rsid w:val="01B80D75"/>
    <w:rsid w:val="02140610"/>
    <w:rsid w:val="02474006"/>
    <w:rsid w:val="02942A6A"/>
    <w:rsid w:val="02A044EC"/>
    <w:rsid w:val="02F00FF0"/>
    <w:rsid w:val="03B92498"/>
    <w:rsid w:val="03FD0D27"/>
    <w:rsid w:val="046C750A"/>
    <w:rsid w:val="04A63192"/>
    <w:rsid w:val="04DD7D6B"/>
    <w:rsid w:val="05056D9E"/>
    <w:rsid w:val="054A7192"/>
    <w:rsid w:val="055509E2"/>
    <w:rsid w:val="055C132D"/>
    <w:rsid w:val="05E9713E"/>
    <w:rsid w:val="06085D84"/>
    <w:rsid w:val="0666718B"/>
    <w:rsid w:val="06D538C3"/>
    <w:rsid w:val="07603356"/>
    <w:rsid w:val="07795046"/>
    <w:rsid w:val="089858AF"/>
    <w:rsid w:val="08DE2E0F"/>
    <w:rsid w:val="091E22AA"/>
    <w:rsid w:val="09310790"/>
    <w:rsid w:val="0A8F0D61"/>
    <w:rsid w:val="0A92134D"/>
    <w:rsid w:val="0A933E78"/>
    <w:rsid w:val="0B187D40"/>
    <w:rsid w:val="0C700313"/>
    <w:rsid w:val="0D375414"/>
    <w:rsid w:val="0D7A532C"/>
    <w:rsid w:val="0DC8579F"/>
    <w:rsid w:val="0E174AA3"/>
    <w:rsid w:val="0E6D5BB9"/>
    <w:rsid w:val="0ED62B79"/>
    <w:rsid w:val="0EDC4568"/>
    <w:rsid w:val="0F2312BA"/>
    <w:rsid w:val="0F632C4E"/>
    <w:rsid w:val="0F9D3E41"/>
    <w:rsid w:val="0FC71E5B"/>
    <w:rsid w:val="10127264"/>
    <w:rsid w:val="103374B8"/>
    <w:rsid w:val="104A18C6"/>
    <w:rsid w:val="110E070B"/>
    <w:rsid w:val="113A06B7"/>
    <w:rsid w:val="11D23CCC"/>
    <w:rsid w:val="123404ED"/>
    <w:rsid w:val="12A32D1F"/>
    <w:rsid w:val="12D76496"/>
    <w:rsid w:val="14480E52"/>
    <w:rsid w:val="147044F9"/>
    <w:rsid w:val="14767A0C"/>
    <w:rsid w:val="154D2A40"/>
    <w:rsid w:val="15EE4223"/>
    <w:rsid w:val="17473194"/>
    <w:rsid w:val="18BA7315"/>
    <w:rsid w:val="18C87522"/>
    <w:rsid w:val="19A411FB"/>
    <w:rsid w:val="1A8449F7"/>
    <w:rsid w:val="1A8F517D"/>
    <w:rsid w:val="1AC7571A"/>
    <w:rsid w:val="1AE270DB"/>
    <w:rsid w:val="1AE74234"/>
    <w:rsid w:val="1B2E4170"/>
    <w:rsid w:val="1B906494"/>
    <w:rsid w:val="1BDB1F5B"/>
    <w:rsid w:val="1BE03343"/>
    <w:rsid w:val="1BE52E52"/>
    <w:rsid w:val="1C4353EA"/>
    <w:rsid w:val="1C833C55"/>
    <w:rsid w:val="1CA62EDF"/>
    <w:rsid w:val="1CC25D66"/>
    <w:rsid w:val="1CDA583F"/>
    <w:rsid w:val="1CE41EDC"/>
    <w:rsid w:val="1CFF47F3"/>
    <w:rsid w:val="1D756A60"/>
    <w:rsid w:val="1E7E0A4B"/>
    <w:rsid w:val="1FC84549"/>
    <w:rsid w:val="1FDC62F1"/>
    <w:rsid w:val="20567A9B"/>
    <w:rsid w:val="216929AF"/>
    <w:rsid w:val="22093690"/>
    <w:rsid w:val="23917E8B"/>
    <w:rsid w:val="23F820DB"/>
    <w:rsid w:val="25473F4D"/>
    <w:rsid w:val="259077D1"/>
    <w:rsid w:val="27234EF4"/>
    <w:rsid w:val="276E6939"/>
    <w:rsid w:val="28301555"/>
    <w:rsid w:val="285B7244"/>
    <w:rsid w:val="28822744"/>
    <w:rsid w:val="28B12C84"/>
    <w:rsid w:val="28CD627E"/>
    <w:rsid w:val="28EE47ED"/>
    <w:rsid w:val="2A465904"/>
    <w:rsid w:val="2A495A74"/>
    <w:rsid w:val="2D334EB3"/>
    <w:rsid w:val="2E4A6AF1"/>
    <w:rsid w:val="2EA91D4A"/>
    <w:rsid w:val="2FB84E23"/>
    <w:rsid w:val="317E72C4"/>
    <w:rsid w:val="31C03512"/>
    <w:rsid w:val="32215279"/>
    <w:rsid w:val="323E037D"/>
    <w:rsid w:val="32560D2E"/>
    <w:rsid w:val="32CC0D8D"/>
    <w:rsid w:val="32E519D5"/>
    <w:rsid w:val="33B54162"/>
    <w:rsid w:val="33B76325"/>
    <w:rsid w:val="34B86BC8"/>
    <w:rsid w:val="36703696"/>
    <w:rsid w:val="36C20875"/>
    <w:rsid w:val="370E564D"/>
    <w:rsid w:val="371B22B7"/>
    <w:rsid w:val="378759F2"/>
    <w:rsid w:val="38955C52"/>
    <w:rsid w:val="38BF14F3"/>
    <w:rsid w:val="38DB01DF"/>
    <w:rsid w:val="38EC2972"/>
    <w:rsid w:val="395B1C5E"/>
    <w:rsid w:val="39954F08"/>
    <w:rsid w:val="3A380C69"/>
    <w:rsid w:val="3A732CC1"/>
    <w:rsid w:val="3A84050A"/>
    <w:rsid w:val="3AE86AB3"/>
    <w:rsid w:val="3C0E61D6"/>
    <w:rsid w:val="3CC538E5"/>
    <w:rsid w:val="3CD72A6B"/>
    <w:rsid w:val="3D1E069A"/>
    <w:rsid w:val="3D3717FB"/>
    <w:rsid w:val="3E1F0B55"/>
    <w:rsid w:val="3E3F202E"/>
    <w:rsid w:val="3F5E33EE"/>
    <w:rsid w:val="3F690A23"/>
    <w:rsid w:val="3F774D39"/>
    <w:rsid w:val="3FA7442C"/>
    <w:rsid w:val="405E2404"/>
    <w:rsid w:val="40B57568"/>
    <w:rsid w:val="40CD3961"/>
    <w:rsid w:val="41FA1B64"/>
    <w:rsid w:val="428146C2"/>
    <w:rsid w:val="428B1338"/>
    <w:rsid w:val="430B2104"/>
    <w:rsid w:val="434033E5"/>
    <w:rsid w:val="434E5F66"/>
    <w:rsid w:val="446F27D2"/>
    <w:rsid w:val="449B0389"/>
    <w:rsid w:val="45245377"/>
    <w:rsid w:val="455C0E6F"/>
    <w:rsid w:val="45956823"/>
    <w:rsid w:val="4598072C"/>
    <w:rsid w:val="462E24AA"/>
    <w:rsid w:val="47423575"/>
    <w:rsid w:val="47EE4EB1"/>
    <w:rsid w:val="482576FA"/>
    <w:rsid w:val="487F2B58"/>
    <w:rsid w:val="49404775"/>
    <w:rsid w:val="49890CB9"/>
    <w:rsid w:val="49A00B62"/>
    <w:rsid w:val="49BF58A9"/>
    <w:rsid w:val="4A8F2D39"/>
    <w:rsid w:val="4C031945"/>
    <w:rsid w:val="4C161DA9"/>
    <w:rsid w:val="4C1C659D"/>
    <w:rsid w:val="4E3C04D8"/>
    <w:rsid w:val="4E4606C9"/>
    <w:rsid w:val="4E7C16C5"/>
    <w:rsid w:val="4EBA5A5C"/>
    <w:rsid w:val="4ED26012"/>
    <w:rsid w:val="50C36A0F"/>
    <w:rsid w:val="514F571D"/>
    <w:rsid w:val="518A5142"/>
    <w:rsid w:val="533E0928"/>
    <w:rsid w:val="53626AA2"/>
    <w:rsid w:val="53AF28DA"/>
    <w:rsid w:val="53B14C42"/>
    <w:rsid w:val="53BD3DEE"/>
    <w:rsid w:val="53DD723A"/>
    <w:rsid w:val="53F406D7"/>
    <w:rsid w:val="53F62CCB"/>
    <w:rsid w:val="54784D0C"/>
    <w:rsid w:val="564400CB"/>
    <w:rsid w:val="56690C2C"/>
    <w:rsid w:val="57822C21"/>
    <w:rsid w:val="57BC3637"/>
    <w:rsid w:val="589A208C"/>
    <w:rsid w:val="58DC4D42"/>
    <w:rsid w:val="58FF21B7"/>
    <w:rsid w:val="59112D9B"/>
    <w:rsid w:val="59843473"/>
    <w:rsid w:val="5ABD187B"/>
    <w:rsid w:val="5B6E20BB"/>
    <w:rsid w:val="5C564D8D"/>
    <w:rsid w:val="5CD60E54"/>
    <w:rsid w:val="5E115985"/>
    <w:rsid w:val="5E8303FB"/>
    <w:rsid w:val="5F4F5F19"/>
    <w:rsid w:val="5FA16DF0"/>
    <w:rsid w:val="5FD45515"/>
    <w:rsid w:val="61B8623F"/>
    <w:rsid w:val="623F6839"/>
    <w:rsid w:val="64477D65"/>
    <w:rsid w:val="647305B6"/>
    <w:rsid w:val="65522FC6"/>
    <w:rsid w:val="67683B03"/>
    <w:rsid w:val="67F22592"/>
    <w:rsid w:val="67F667E8"/>
    <w:rsid w:val="67F87AA9"/>
    <w:rsid w:val="68466B73"/>
    <w:rsid w:val="68921DB9"/>
    <w:rsid w:val="68B403BF"/>
    <w:rsid w:val="69EE4AD9"/>
    <w:rsid w:val="6A321EF3"/>
    <w:rsid w:val="6B197AD6"/>
    <w:rsid w:val="6B565891"/>
    <w:rsid w:val="6C564A09"/>
    <w:rsid w:val="6DDE5D93"/>
    <w:rsid w:val="6ECB7DD2"/>
    <w:rsid w:val="70277A76"/>
    <w:rsid w:val="704F5245"/>
    <w:rsid w:val="70B92996"/>
    <w:rsid w:val="71057E00"/>
    <w:rsid w:val="72552715"/>
    <w:rsid w:val="73023D3C"/>
    <w:rsid w:val="732157C9"/>
    <w:rsid w:val="73E22708"/>
    <w:rsid w:val="740F66E4"/>
    <w:rsid w:val="74545D99"/>
    <w:rsid w:val="74605A09"/>
    <w:rsid w:val="74FD067F"/>
    <w:rsid w:val="75330480"/>
    <w:rsid w:val="766E7A97"/>
    <w:rsid w:val="76B07CC5"/>
    <w:rsid w:val="76E3721B"/>
    <w:rsid w:val="770E2563"/>
    <w:rsid w:val="773C2C85"/>
    <w:rsid w:val="77CE68EC"/>
    <w:rsid w:val="77E419A0"/>
    <w:rsid w:val="77FC3588"/>
    <w:rsid w:val="785F4189"/>
    <w:rsid w:val="78951235"/>
    <w:rsid w:val="78EF3981"/>
    <w:rsid w:val="79A62F1D"/>
    <w:rsid w:val="79B60397"/>
    <w:rsid w:val="79D05FAC"/>
    <w:rsid w:val="7AAD5DCA"/>
    <w:rsid w:val="7AE04121"/>
    <w:rsid w:val="7B154BD8"/>
    <w:rsid w:val="7BA3715F"/>
    <w:rsid w:val="7BE50146"/>
    <w:rsid w:val="7C5E2286"/>
    <w:rsid w:val="7C984741"/>
    <w:rsid w:val="7E5C40C6"/>
    <w:rsid w:val="7EB86DB4"/>
    <w:rsid w:val="7EC94FAA"/>
    <w:rsid w:val="7EEE283A"/>
    <w:rsid w:val="7F7B472A"/>
    <w:rsid w:val="7F90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171"/>
    <w:basedOn w:val="8"/>
    <w:qFormat/>
    <w:uiPriority w:val="0"/>
    <w:rPr>
      <w:rFonts w:hint="eastAsia" w:ascii="宋体" w:hAnsi="宋体" w:eastAsia="宋体" w:cs="宋体"/>
      <w:b/>
      <w:bCs/>
      <w:color w:val="0066CC"/>
      <w:sz w:val="52"/>
      <w:szCs w:val="52"/>
      <w:u w:val="none"/>
    </w:rPr>
  </w:style>
  <w:style w:type="character" w:customStyle="1" w:styleId="10">
    <w:name w:val="font51"/>
    <w:basedOn w:val="8"/>
    <w:qFormat/>
    <w:uiPriority w:val="0"/>
    <w:rPr>
      <w:rFonts w:hint="eastAsia" w:ascii="宋体" w:hAnsi="宋体" w:eastAsia="宋体" w:cs="宋体"/>
      <w:b/>
      <w:bCs/>
      <w:color w:val="000000"/>
      <w:sz w:val="52"/>
      <w:szCs w:val="52"/>
      <w:u w:val="none"/>
    </w:rPr>
  </w:style>
  <w:style w:type="character" w:customStyle="1" w:styleId="11">
    <w:name w:val="font11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2">
    <w:name w:val="font141"/>
    <w:basedOn w:val="8"/>
    <w:qFormat/>
    <w:uiPriority w:val="0"/>
    <w:rPr>
      <w:rFonts w:hint="eastAsia" w:ascii="宋体" w:hAnsi="宋体" w:eastAsia="宋体" w:cs="宋体"/>
      <w:color w:val="00B0F0"/>
      <w:sz w:val="20"/>
      <w:szCs w:val="20"/>
      <w:u w:val="none"/>
    </w:rPr>
  </w:style>
  <w:style w:type="character" w:customStyle="1" w:styleId="13">
    <w:name w:val="font1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4">
    <w:name w:val="font181"/>
    <w:basedOn w:val="8"/>
    <w:qFormat/>
    <w:uiPriority w:val="0"/>
    <w:rPr>
      <w:rFonts w:hint="eastAsia" w:ascii="宋体" w:hAnsi="宋体" w:eastAsia="宋体" w:cs="宋体"/>
      <w:color w:val="00CCFF"/>
      <w:sz w:val="20"/>
      <w:szCs w:val="20"/>
      <w:u w:val="none"/>
    </w:rPr>
  </w:style>
  <w:style w:type="character" w:customStyle="1" w:styleId="15">
    <w:name w:val="font2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12"/>
    <w:basedOn w:val="8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7">
    <w:name w:val="font19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18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19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2597</Words>
  <Characters>2683</Characters>
  <Lines>18</Lines>
  <Paragraphs>5</Paragraphs>
  <TotalTime>10</TotalTime>
  <ScaleCrop>false</ScaleCrop>
  <LinksUpToDate>false</LinksUpToDate>
  <CharactersWithSpaces>2690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2026-08-14T07:48:00Z</dcterms:created>
  <dc:creator>太乙真人</dc:creator>
  <cp:lastModifiedBy>潘东江</cp:lastModifiedBy>
  <cp:lastPrinted>2025-09-28T01:42:00Z</cp:lastPrinted>
  <dcterms:modified xsi:type="dcterms:W3CDTF">2026-08-18T01:26:33Z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93E5EBE0DF604D7F9F5724F59D5E6018_13</vt:lpwstr>
  </property>
  <property fmtid="{D5CDD505-2E9C-101B-9397-08002B2CF9AE}" pid="4" name="KSOTemplateDocerSaveRecord">
    <vt:lpwstr>eyJoZGlkIjoiMzYyMjAyMGE4N2NlOGJjNTIwYTYxNDBhYzgxNGMwY2EiLCJ1c2VySWQiOiIyMzg3NDE2NjQifQ==</vt:lpwstr>
  </property>
</Properties>
</file>